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8" w:type="dxa"/>
        <w:shd w:val="clear" w:color="auto" w:fill="F2F2F2"/>
        <w:tblLook w:val="04A0" w:firstRow="1" w:lastRow="0" w:firstColumn="1" w:lastColumn="0" w:noHBand="0" w:noVBand="1"/>
      </w:tblPr>
      <w:tblGrid>
        <w:gridCol w:w="9118"/>
      </w:tblGrid>
      <w:tr w:rsidR="003120A5" w:rsidRPr="007E1DE3" w:rsidTr="008F184D">
        <w:trPr>
          <w:trHeight w:val="365"/>
        </w:trPr>
        <w:tc>
          <w:tcPr>
            <w:tcW w:w="9118" w:type="dxa"/>
            <w:shd w:val="clear" w:color="auto" w:fill="auto"/>
          </w:tcPr>
          <w:p w:rsidR="003120A5" w:rsidRPr="007E1DE3" w:rsidRDefault="00E14B78" w:rsidP="00E14B78">
            <w:pPr>
              <w:pStyle w:val="LBberschriftReferenzFuzeile"/>
            </w:pPr>
            <w:r w:rsidRPr="00F71657">
              <w:rPr>
                <w:rFonts w:cs="Times New Roman"/>
                <w:color w:val="006600"/>
                <w:kern w:val="36"/>
                <w:szCs w:val="26"/>
                <w:lang w:eastAsia="de-DE"/>
              </w:rPr>
              <w:t>Covid-19-</w:t>
            </w:r>
            <w:r>
              <w:rPr>
                <w:rFonts w:cs="Times New Roman"/>
                <w:color w:val="006600"/>
                <w:kern w:val="36"/>
                <w:szCs w:val="26"/>
                <w:lang w:eastAsia="de-DE"/>
              </w:rPr>
              <w:t>Verlustausgleich für mobile Leistungsanbieter der steirischen Behindertenhilfe</w:t>
            </w:r>
          </w:p>
        </w:tc>
      </w:tr>
    </w:tbl>
    <w:p w:rsidR="00083580" w:rsidRPr="007E1DE3" w:rsidRDefault="00083580" w:rsidP="00FA329A">
      <w:pPr>
        <w:pStyle w:val="LBText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6E8952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Allgemeine Informationen</w:t>
            </w:r>
          </w:p>
        </w:tc>
      </w:tr>
    </w:tbl>
    <w:p w:rsidR="00E14B78" w:rsidRPr="00E14B78" w:rsidRDefault="00E14B78" w:rsidP="002D0889">
      <w:pPr>
        <w:pStyle w:val="LBText"/>
        <w:ind w:left="284"/>
        <w:jc w:val="both"/>
        <w:rPr>
          <w:rFonts w:eastAsia="Times New Roman" w:cs="Times New Roman"/>
          <w:szCs w:val="18"/>
          <w:lang w:eastAsia="de-DE"/>
        </w:rPr>
      </w:pPr>
      <w:r w:rsidRPr="00E14B78">
        <w:rPr>
          <w:rFonts w:eastAsia="Times New Roman" w:cs="Times New Roman"/>
          <w:szCs w:val="18"/>
          <w:lang w:eastAsia="de-DE"/>
        </w:rPr>
        <w:t xml:space="preserve">Die </w:t>
      </w:r>
      <w:r w:rsidRPr="00E14B78">
        <w:t xml:space="preserve">Abteilung 11 – Soziales, Arbeit und Integration gleicht im Zusammenhang mit den COVID-19 bedingt stattgefundenen </w:t>
      </w:r>
      <w:proofErr w:type="spellStart"/>
      <w:r w:rsidRPr="00E14B78">
        <w:t>Lockdownzeiten</w:t>
      </w:r>
      <w:proofErr w:type="spellEnd"/>
      <w:r w:rsidRPr="00E14B78">
        <w:t xml:space="preserve"> im Jahr 2021 allfällig entstandene Umsatzverluste (vergleichend</w:t>
      </w:r>
      <w:r w:rsidRPr="00E14B78">
        <w:rPr>
          <w:rFonts w:eastAsia="Times New Roman" w:cs="Times New Roman"/>
          <w:szCs w:val="18"/>
          <w:lang w:eastAsia="de-DE"/>
        </w:rPr>
        <w:t xml:space="preserve"> mit den gleichen Zeiträumen des Jahres 2019) bei Vorliegen eines negativen Jahresergebnisses der Leistung bzw. der Kostenstelle 2021 entsprechend aus.</w:t>
      </w:r>
    </w:p>
    <w:p w:rsidR="00DC56E8" w:rsidRPr="007E1DE3" w:rsidRDefault="00DC56E8" w:rsidP="00FA329A">
      <w:pPr>
        <w:pStyle w:val="LBText"/>
      </w:pPr>
      <w:bookmarkStart w:id="0" w:name="_GoBack"/>
      <w:bookmarkEnd w:id="0"/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FFD628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Voraussetzungen</w:t>
            </w:r>
            <w:r w:rsidR="00DE0063">
              <w:t xml:space="preserve"> </w:t>
            </w:r>
          </w:p>
        </w:tc>
      </w:tr>
    </w:tbl>
    <w:p w:rsidR="009A619C" w:rsidRDefault="00856D73" w:rsidP="00531A64">
      <w:pPr>
        <w:pStyle w:val="LBText"/>
        <w:numPr>
          <w:ilvl w:val="0"/>
          <w:numId w:val="21"/>
        </w:numPr>
        <w:jc w:val="both"/>
      </w:pPr>
      <w:r>
        <w:t>Ein aufrechter Leistungsvertrag bzw. eine entsprechende Bewilligung zur Leistungserbringung der gelisteten mobilen LEVO Leistungsarten bzw. zur Kindergarten und Schulassistenz;</w:t>
      </w:r>
    </w:p>
    <w:p w:rsidR="00856D73" w:rsidRDefault="00856D73" w:rsidP="00531A64">
      <w:pPr>
        <w:pStyle w:val="LBText"/>
        <w:numPr>
          <w:ilvl w:val="0"/>
          <w:numId w:val="21"/>
        </w:numPr>
        <w:jc w:val="both"/>
      </w:pPr>
      <w:r>
        <w:t>Ein negatives finanzielles Jahresergebnis zur entsprechenden Leistung bzw. Kostenstelle – ein Ausgleich kann maximal nur bis zur Höhe des negativen Ergebnisses erfolgen;</w:t>
      </w:r>
    </w:p>
    <w:p w:rsidR="00856D73" w:rsidRDefault="00856D73" w:rsidP="00531A64">
      <w:pPr>
        <w:pStyle w:val="LBText"/>
        <w:numPr>
          <w:ilvl w:val="0"/>
          <w:numId w:val="21"/>
        </w:numPr>
        <w:jc w:val="both"/>
      </w:pPr>
      <w:r>
        <w:t>Eine in den</w:t>
      </w:r>
      <w:r w:rsidR="00531A64">
        <w:t xml:space="preserve"> angeführten</w:t>
      </w:r>
      <w:r>
        <w:t xml:space="preserve"> </w:t>
      </w:r>
      <w:proofErr w:type="spellStart"/>
      <w:r>
        <w:t>Lockdownzeiten</w:t>
      </w:r>
      <w:proofErr w:type="spellEnd"/>
      <w:r>
        <w:t xml:space="preserve"> 2021 gegebene Minderleistung gegenüber dem gleichen Bemessungszeitraum des Jahres 2019</w:t>
      </w:r>
      <w:r w:rsidR="00531A64">
        <w:t>;</w:t>
      </w:r>
    </w:p>
    <w:p w:rsidR="00856D73" w:rsidRDefault="00856D73" w:rsidP="00531A64">
      <w:pPr>
        <w:pStyle w:val="LBText"/>
        <w:numPr>
          <w:ilvl w:val="0"/>
          <w:numId w:val="21"/>
        </w:numPr>
        <w:jc w:val="both"/>
      </w:pPr>
      <w:r>
        <w:t>Die entsprechend nachstehend a</w:t>
      </w:r>
      <w:r w:rsidR="009E091E">
        <w:t>ngeführten</w:t>
      </w:r>
      <w:r>
        <w:t xml:space="preserve"> Nachweise.</w:t>
      </w:r>
    </w:p>
    <w:p w:rsidR="00D47BAB" w:rsidRPr="007E1DE3" w:rsidRDefault="00D47BAB" w:rsidP="00FA329A">
      <w:pPr>
        <w:pStyle w:val="LBText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2B64A1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Fristen</w:t>
            </w:r>
          </w:p>
        </w:tc>
      </w:tr>
    </w:tbl>
    <w:p w:rsidR="001F4877" w:rsidRPr="00E14B78" w:rsidRDefault="00E14B78" w:rsidP="00FA329A">
      <w:pPr>
        <w:pStyle w:val="LBText"/>
      </w:pPr>
      <w:r w:rsidRPr="00E14B78">
        <w:rPr>
          <w:rFonts w:eastAsia="Times New Roman" w:cs="Times New Roman"/>
          <w:szCs w:val="18"/>
          <w:lang w:eastAsia="de-DE"/>
        </w:rPr>
        <w:t>Die Antragstellung hat online bis spätestens 15.8.2022 zu erfolgen. Verspätet einlangende Anträge und Unterlagen werden nicht mehr berücksichtigt.</w:t>
      </w:r>
    </w:p>
    <w:p w:rsidR="00CB77E4" w:rsidRPr="007E1DE3" w:rsidRDefault="00CB77E4" w:rsidP="00FA329A">
      <w:pPr>
        <w:pStyle w:val="LBText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C37DED">
        <w:trPr>
          <w:trHeight w:val="365"/>
        </w:trPr>
        <w:tc>
          <w:tcPr>
            <w:tcW w:w="222" w:type="dxa"/>
            <w:shd w:val="clear" w:color="auto" w:fill="F9A034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Zuständige Stelle</w:t>
            </w:r>
          </w:p>
        </w:tc>
      </w:tr>
    </w:tbl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t>Amt der Steiermärkischen Landesregierung</w:t>
      </w:r>
    </w:p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t>Abteilung 11 Soziales, Arbeit und Integration, Bereich Förderungsmanagement</w:t>
      </w:r>
    </w:p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t>Abt11-foem@stmk.gv.at</w:t>
      </w:r>
    </w:p>
    <w:p w:rsidR="009A619C" w:rsidRDefault="009A619C" w:rsidP="00FA329A">
      <w:pPr>
        <w:pStyle w:val="LBText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804040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8DB3E2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Verfahrensablauf</w:t>
            </w:r>
          </w:p>
        </w:tc>
      </w:tr>
    </w:tbl>
    <w:p w:rsidR="00E14B78" w:rsidRPr="00E14B78" w:rsidRDefault="00E14B78" w:rsidP="002D0889">
      <w:pPr>
        <w:pStyle w:val="LBText"/>
        <w:ind w:left="284"/>
        <w:jc w:val="both"/>
        <w:rPr>
          <w:rFonts w:eastAsia="Times New Roman" w:cs="Times New Roman"/>
          <w:szCs w:val="18"/>
          <w:lang w:eastAsia="de-DE"/>
        </w:rPr>
      </w:pPr>
      <w:r w:rsidRPr="00E14B78">
        <w:rPr>
          <w:rFonts w:eastAsia="Times New Roman" w:cs="Times New Roman"/>
          <w:szCs w:val="18"/>
          <w:lang w:eastAsia="de-DE"/>
        </w:rPr>
        <w:t xml:space="preserve">Nach positiver Überprüfung der Förderungsvoraussetzungen </w:t>
      </w:r>
      <w:proofErr w:type="spellStart"/>
      <w:r w:rsidRPr="00E14B78">
        <w:rPr>
          <w:rFonts w:eastAsia="Times New Roman" w:cs="Times New Roman"/>
          <w:szCs w:val="18"/>
          <w:lang w:eastAsia="de-DE"/>
        </w:rPr>
        <w:t>refundiert</w:t>
      </w:r>
      <w:proofErr w:type="spellEnd"/>
      <w:r w:rsidRPr="00E14B78">
        <w:rPr>
          <w:rFonts w:eastAsia="Times New Roman" w:cs="Times New Roman"/>
          <w:szCs w:val="18"/>
          <w:lang w:eastAsia="de-DE"/>
        </w:rPr>
        <w:t xml:space="preserve"> das Land Steiermark der Einrichtung den Kostenersatz.</w:t>
      </w:r>
    </w:p>
    <w:p w:rsidR="00090711" w:rsidRDefault="00090711" w:rsidP="00957A77">
      <w:pPr>
        <w:pStyle w:val="LBText"/>
        <w:jc w:val="both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8CB5DF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6435CA" w:rsidP="00CA282C">
            <w:pPr>
              <w:pStyle w:val="LBBlockberschift"/>
            </w:pPr>
            <w:r w:rsidRPr="007E1DE3">
              <w:t>Erforderliche Unterlagen</w:t>
            </w:r>
          </w:p>
        </w:tc>
      </w:tr>
    </w:tbl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t>Dem ONLINE-Antrag ist die „Antragsbeilage Verlustausgleich Mobile LA“ mit der zeitraumbezogenen Darstellung der entsprechenden Leistungen bzw. Umsätze sowie eine summierte Darstellung des Jahresergebnisses der entsprechenden Leistungsart bzw. der Kostenstelle beizuschließen.</w:t>
      </w:r>
    </w:p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18"/>
          <w:lang w:eastAsia="de-DE"/>
        </w:rPr>
      </w:pPr>
      <w:proofErr w:type="spellStart"/>
      <w:r w:rsidRPr="00E14B78">
        <w:rPr>
          <w:rFonts w:eastAsia="Times New Roman"/>
          <w:szCs w:val="18"/>
          <w:lang w:eastAsia="de-DE"/>
        </w:rPr>
        <w:t>Weiters</w:t>
      </w:r>
      <w:proofErr w:type="spellEnd"/>
      <w:r w:rsidRPr="00E14B78">
        <w:rPr>
          <w:rFonts w:eastAsia="Times New Roman"/>
          <w:szCs w:val="18"/>
          <w:lang w:eastAsia="de-DE"/>
        </w:rPr>
        <w:t xml:space="preserve"> sind dem ONLINE-Antrag beizuschießen:</w:t>
      </w:r>
    </w:p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t>...eine Zusage bzw. Absage des NPO-Fonds oder bzgl. des Fixkostenzuschusses bzw. eine Bestätigung eines Wirtschaftsprüfers;</w:t>
      </w:r>
    </w:p>
    <w:p w:rsidR="00E14B78" w:rsidRPr="00E14B78" w:rsidRDefault="00E14B78" w:rsidP="00E14B7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Cs w:val="18"/>
          <w:lang w:eastAsia="de-DE"/>
        </w:rPr>
      </w:pPr>
      <w:r w:rsidRPr="00E14B78">
        <w:rPr>
          <w:rFonts w:eastAsia="Times New Roman"/>
          <w:szCs w:val="18"/>
          <w:lang w:eastAsia="de-DE"/>
        </w:rPr>
        <w:lastRenderedPageBreak/>
        <w:t>...zum Jahresergebnis der Leistungsart bzw. der Kostenstelle 2021 ein saldierter Auszug beizuschließen.</w:t>
      </w:r>
    </w:p>
    <w:p w:rsidR="006145D8" w:rsidRPr="00E14B78" w:rsidRDefault="00E14B78" w:rsidP="00E14B78">
      <w:pPr>
        <w:pStyle w:val="LBText"/>
        <w:ind w:left="284"/>
        <w:rPr>
          <w:rFonts w:eastAsia="Times New Roman" w:cs="Times New Roman"/>
          <w:szCs w:val="18"/>
          <w:lang w:eastAsia="de-DE"/>
        </w:rPr>
      </w:pPr>
      <w:r w:rsidRPr="00E14B78">
        <w:rPr>
          <w:rFonts w:eastAsia="Times New Roman" w:cs="Times New Roman"/>
          <w:szCs w:val="18"/>
          <w:lang w:eastAsia="de-DE"/>
        </w:rPr>
        <w:t>Ebenso erfolgt durch den Online-Antrag eine verbindliche Erklärung über die Richtigkeit der Angaben des vertretungsbefugten Organs.</w:t>
      </w:r>
    </w:p>
    <w:p w:rsidR="009A619C" w:rsidRDefault="00E14B78" w:rsidP="00853182">
      <w:pPr>
        <w:pStyle w:val="LBText"/>
        <w:ind w:left="1049"/>
      </w:pPr>
      <w:r>
        <w:br/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6435CA" w:rsidRPr="007E1DE3" w:rsidTr="003120A5">
        <w:trPr>
          <w:trHeight w:val="365"/>
        </w:trPr>
        <w:tc>
          <w:tcPr>
            <w:tcW w:w="222" w:type="dxa"/>
            <w:shd w:val="clear" w:color="auto" w:fill="CD885D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6435CA" w:rsidRPr="007E1DE3" w:rsidRDefault="006435CA" w:rsidP="006435CA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6435CA" w:rsidRPr="007E1DE3" w:rsidRDefault="002C1713" w:rsidP="00CA282C">
            <w:pPr>
              <w:pStyle w:val="LBBlockberschift"/>
            </w:pPr>
            <w:r w:rsidRPr="007E1DE3">
              <w:t>Kosten</w:t>
            </w:r>
          </w:p>
        </w:tc>
      </w:tr>
    </w:tbl>
    <w:p w:rsidR="009A619C" w:rsidRPr="00E14B78" w:rsidRDefault="00E14B78" w:rsidP="006145D8">
      <w:pPr>
        <w:pStyle w:val="LBText"/>
      </w:pPr>
      <w:r w:rsidRPr="00E14B78">
        <w:rPr>
          <w:rFonts w:eastAsia="Times New Roman" w:cs="Times New Roman"/>
          <w:szCs w:val="18"/>
          <w:lang w:eastAsia="de-DE"/>
        </w:rPr>
        <w:t>Für diese Förderung fallen keine Kosten an.</w:t>
      </w:r>
    </w:p>
    <w:p w:rsidR="009A619C" w:rsidRPr="007E1DE3" w:rsidRDefault="009A619C" w:rsidP="00FA329A">
      <w:pPr>
        <w:pStyle w:val="LBText"/>
      </w:pPr>
    </w:p>
    <w:tbl>
      <w:tblPr>
        <w:tblW w:w="9118" w:type="dxa"/>
        <w:tblLook w:val="04A0" w:firstRow="1" w:lastRow="0" w:firstColumn="1" w:lastColumn="0" w:noHBand="0" w:noVBand="1"/>
      </w:tblPr>
      <w:tblGrid>
        <w:gridCol w:w="222"/>
        <w:gridCol w:w="222"/>
        <w:gridCol w:w="8674"/>
      </w:tblGrid>
      <w:tr w:rsidR="002C1713" w:rsidRPr="00854C66" w:rsidTr="003120A5">
        <w:trPr>
          <w:trHeight w:val="365"/>
        </w:trPr>
        <w:tc>
          <w:tcPr>
            <w:tcW w:w="222" w:type="dxa"/>
            <w:shd w:val="clear" w:color="auto" w:fill="8CB5DF"/>
          </w:tcPr>
          <w:p w:rsidR="002C1713" w:rsidRPr="007E1DE3" w:rsidRDefault="002C1713" w:rsidP="008D17ED">
            <w:pPr>
              <w:spacing w:before="60" w:after="60" w:line="240" w:lineRule="auto"/>
              <w:rPr>
                <w:rFonts w:cs="Arial"/>
                <w:szCs w:val="24"/>
              </w:rPr>
            </w:pPr>
          </w:p>
        </w:tc>
        <w:tc>
          <w:tcPr>
            <w:tcW w:w="222" w:type="dxa"/>
          </w:tcPr>
          <w:p w:rsidR="002C1713" w:rsidRPr="007E1DE3" w:rsidRDefault="002C1713" w:rsidP="008D17ED">
            <w:pPr>
              <w:spacing w:before="60" w:after="60" w:line="240" w:lineRule="auto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8674" w:type="dxa"/>
            <w:shd w:val="clear" w:color="auto" w:fill="auto"/>
          </w:tcPr>
          <w:p w:rsidR="002C1713" w:rsidRPr="007E1DE3" w:rsidRDefault="00FF2011" w:rsidP="00CA282C">
            <w:pPr>
              <w:pStyle w:val="LBBlockberschift"/>
            </w:pPr>
            <w:proofErr w:type="spellStart"/>
            <w:r>
              <w:t>Datenschutzrechliche</w:t>
            </w:r>
            <w:proofErr w:type="spellEnd"/>
            <w:r>
              <w:t xml:space="preserve"> Informationen</w:t>
            </w:r>
          </w:p>
        </w:tc>
      </w:tr>
    </w:tbl>
    <w:p w:rsidR="007E1DE3" w:rsidRDefault="007E1DE3">
      <w:pPr>
        <w:pStyle w:val="LBText"/>
      </w:pPr>
    </w:p>
    <w:p w:rsidR="00FF2011" w:rsidRPr="00FF2011" w:rsidRDefault="00FF2011" w:rsidP="00FF20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 xml:space="preserve">Mit der Antragstellung wird zur Kenntnis genommen, dass die/der </w:t>
      </w:r>
      <w:proofErr w:type="spellStart"/>
      <w:r w:rsidRPr="00FF2011">
        <w:rPr>
          <w:rFonts w:eastAsia="Times New Roman"/>
          <w:szCs w:val="18"/>
          <w:lang w:eastAsia="de-DE"/>
        </w:rPr>
        <w:t>FörderungsgeberIn</w:t>
      </w:r>
      <w:proofErr w:type="spellEnd"/>
      <w:r w:rsidRPr="00FF2011">
        <w:rPr>
          <w:rFonts w:eastAsia="Times New Roman"/>
          <w:szCs w:val="18"/>
          <w:lang w:eastAsia="de-DE"/>
        </w:rPr>
        <w:t xml:space="preserve"> ermächtigt ist, alle im Förderungsantrag enthaltenen, die Förderungswerberinnen/Förderungswerber und Förderungsnehmerinnen/Förderungsnehmer betreffenden personenbezogenen Daten gemäß Art. 6 Abs. 1 </w:t>
      </w:r>
      <w:proofErr w:type="spellStart"/>
      <w:r w:rsidRPr="00FF2011">
        <w:rPr>
          <w:rFonts w:eastAsia="Times New Roman"/>
          <w:szCs w:val="18"/>
          <w:lang w:eastAsia="de-DE"/>
        </w:rPr>
        <w:t>lit</w:t>
      </w:r>
      <w:proofErr w:type="spellEnd"/>
      <w:r w:rsidRPr="00FF2011">
        <w:rPr>
          <w:rFonts w:eastAsia="Times New Roman"/>
          <w:szCs w:val="18"/>
          <w:lang w:eastAsia="de-DE"/>
        </w:rPr>
        <w:t>. b Datenschutz-Grundverordnung für Zwecke der Anbahnung und des Abschlusses des Förderungsvertrages automationsunterstützt verarbeitet werden.</w:t>
      </w:r>
    </w:p>
    <w:p w:rsidR="00FF2011" w:rsidRPr="00FF2011" w:rsidRDefault="00FF2011" w:rsidP="00FF20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>Die gemäß Z 1 verarbeiteten Daten werden in Anlehnung an die steuerrechtlichen Vorgaben sieben Jahre gespeichert.</w:t>
      </w:r>
    </w:p>
    <w:p w:rsidR="00FF2011" w:rsidRPr="00FF2011" w:rsidRDefault="00FF2011" w:rsidP="00FF201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>Auf der Datenschutz-Informationsseite des Förderungsgebers ( </w:t>
      </w:r>
      <w:hyperlink r:id="rId8" w:history="1">
        <w:r w:rsidRPr="00FF2011">
          <w:rPr>
            <w:rFonts w:eastAsia="Times New Roman"/>
            <w:szCs w:val="18"/>
            <w:u w:val="single"/>
            <w:lang w:eastAsia="de-DE"/>
          </w:rPr>
          <w:t>https://datenschutz.stmk.gv.at</w:t>
        </w:r>
      </w:hyperlink>
      <w:r w:rsidRPr="00FF2011">
        <w:rPr>
          <w:rFonts w:eastAsia="Times New Roman"/>
          <w:szCs w:val="18"/>
          <w:lang w:eastAsia="de-DE"/>
        </w:rPr>
        <w:t>) werden alle relevanten Informationen insbesondere zu folgenden Punkten veröffentlicht:</w:t>
      </w:r>
    </w:p>
    <w:p w:rsidR="00FF2011" w:rsidRPr="00FF2011" w:rsidRDefault="00FF2011" w:rsidP="00FF2011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>zu zustehenden Rechten auf Auskunft, Berichtigung, Löschung, Einschränkung der Verarbeitung, Widerruf und Widerspruch sowie auf Datenübertragbarkeit;</w:t>
      </w:r>
    </w:p>
    <w:p w:rsidR="00FF2011" w:rsidRPr="00FF2011" w:rsidRDefault="00FF2011" w:rsidP="00FF2011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>zum zustehenden Beschwerderecht bei der Österreichischen Datenschutzbehörde;</w:t>
      </w:r>
    </w:p>
    <w:p w:rsidR="00FF2011" w:rsidRPr="00FF2011" w:rsidRDefault="00FF2011" w:rsidP="00FF2011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szCs w:val="18"/>
          <w:lang w:eastAsia="de-DE"/>
        </w:rPr>
      </w:pPr>
      <w:r w:rsidRPr="00FF2011">
        <w:rPr>
          <w:rFonts w:eastAsia="Times New Roman"/>
          <w:szCs w:val="18"/>
          <w:lang w:eastAsia="de-DE"/>
        </w:rPr>
        <w:t>zum Verantwortlichen der Verarbeitung und zum/zur Datenschutzbeauftragten.</w:t>
      </w:r>
    </w:p>
    <w:sectPr w:rsidR="00FF2011" w:rsidRPr="00FF2011" w:rsidSect="0098580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25" w:rsidRDefault="00A02925" w:rsidP="006435CA">
      <w:pPr>
        <w:spacing w:line="240" w:lineRule="auto"/>
      </w:pPr>
      <w:r>
        <w:separator/>
      </w:r>
    </w:p>
  </w:endnote>
  <w:endnote w:type="continuationSeparator" w:id="0">
    <w:p w:rsidR="00A02925" w:rsidRDefault="00A02925" w:rsidP="00643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74" w:rsidRPr="007B1C47" w:rsidRDefault="00042974" w:rsidP="00C151CA">
    <w:pPr>
      <w:tabs>
        <w:tab w:val="right" w:pos="9072"/>
      </w:tabs>
      <w:rPr>
        <w:rFonts w:cs="Arial"/>
        <w:szCs w:val="18"/>
        <w:lang w:val="de-DE"/>
      </w:rPr>
    </w:pPr>
    <w:r w:rsidRPr="007B1C47">
      <w:rPr>
        <w:rFonts w:cs="Arial"/>
        <w:szCs w:val="18"/>
      </w:rPr>
      <w:fldChar w:fldCharType="begin"/>
    </w:r>
    <w:r w:rsidRPr="007B1C47">
      <w:rPr>
        <w:rFonts w:cs="Arial"/>
        <w:szCs w:val="18"/>
      </w:rPr>
      <w:instrText xml:space="preserve"> STYLEREF  "LB_Überschrift_Referenz Fußzeile"  \* MERGEFORMAT </w:instrText>
    </w:r>
    <w:r w:rsidRPr="007B1C47">
      <w:rPr>
        <w:rFonts w:cs="Arial"/>
        <w:szCs w:val="18"/>
      </w:rPr>
      <w:fldChar w:fldCharType="separate"/>
    </w:r>
    <w:r w:rsidR="009E091E">
      <w:rPr>
        <w:rFonts w:cs="Arial"/>
        <w:noProof/>
        <w:szCs w:val="18"/>
      </w:rPr>
      <w:t>Covid-19-Verlustausgleich für mobile Leistungsanbieter der steirischen Behindertenhilfe</w:t>
    </w:r>
    <w:r w:rsidRPr="007B1C47">
      <w:rPr>
        <w:rFonts w:cs="Arial"/>
        <w:szCs w:val="18"/>
      </w:rPr>
      <w:fldChar w:fldCharType="end"/>
    </w:r>
    <w:r w:rsidRPr="007B1C47">
      <w:rPr>
        <w:rFonts w:cs="Arial"/>
        <w:szCs w:val="18"/>
      </w:rPr>
      <w:tab/>
    </w:r>
    <w:r w:rsidRPr="007B1C47">
      <w:rPr>
        <w:rFonts w:cs="Arial"/>
        <w:szCs w:val="18"/>
        <w:lang w:val="de-DE"/>
      </w:rPr>
      <w:t xml:space="preserve">Seite </w:t>
    </w:r>
    <w:r w:rsidRPr="007B1C47">
      <w:rPr>
        <w:rFonts w:cs="Arial"/>
        <w:szCs w:val="18"/>
        <w:lang w:val="de-DE"/>
      </w:rPr>
      <w:fldChar w:fldCharType="begin"/>
    </w:r>
    <w:r w:rsidRPr="007B1C47">
      <w:rPr>
        <w:rFonts w:cs="Arial"/>
        <w:szCs w:val="18"/>
        <w:lang w:val="de-DE"/>
      </w:rPr>
      <w:instrText xml:space="preserve"> PAGE </w:instrText>
    </w:r>
    <w:r w:rsidRPr="007B1C47">
      <w:rPr>
        <w:rFonts w:cs="Arial"/>
        <w:szCs w:val="18"/>
        <w:lang w:val="de-DE"/>
      </w:rPr>
      <w:fldChar w:fldCharType="separate"/>
    </w:r>
    <w:r w:rsidR="009E091E">
      <w:rPr>
        <w:rFonts w:cs="Arial"/>
        <w:noProof/>
        <w:szCs w:val="18"/>
        <w:lang w:val="de-DE"/>
      </w:rPr>
      <w:t>2</w:t>
    </w:r>
    <w:r w:rsidRPr="007B1C47">
      <w:rPr>
        <w:rFonts w:cs="Arial"/>
        <w:szCs w:val="18"/>
        <w:lang w:val="de-DE"/>
      </w:rPr>
      <w:fldChar w:fldCharType="end"/>
    </w:r>
    <w:r w:rsidRPr="007B1C47">
      <w:rPr>
        <w:rFonts w:cs="Arial"/>
        <w:szCs w:val="18"/>
        <w:lang w:val="de-DE"/>
      </w:rPr>
      <w:t xml:space="preserve"> / </w:t>
    </w:r>
    <w:r w:rsidRPr="007B1C47">
      <w:rPr>
        <w:rFonts w:cs="Arial"/>
        <w:szCs w:val="18"/>
        <w:lang w:val="de-DE"/>
      </w:rPr>
      <w:fldChar w:fldCharType="begin"/>
    </w:r>
    <w:r w:rsidRPr="007B1C47">
      <w:rPr>
        <w:rFonts w:cs="Arial"/>
        <w:szCs w:val="18"/>
        <w:lang w:val="de-DE"/>
      </w:rPr>
      <w:instrText xml:space="preserve"> NUMPAGES  </w:instrText>
    </w:r>
    <w:r w:rsidRPr="007B1C47">
      <w:rPr>
        <w:rFonts w:cs="Arial"/>
        <w:szCs w:val="18"/>
        <w:lang w:val="de-DE"/>
      </w:rPr>
      <w:fldChar w:fldCharType="separate"/>
    </w:r>
    <w:r w:rsidR="009E091E">
      <w:rPr>
        <w:rFonts w:cs="Arial"/>
        <w:noProof/>
        <w:szCs w:val="18"/>
        <w:lang w:val="de-DE"/>
      </w:rPr>
      <w:t>2</w:t>
    </w:r>
    <w:r w:rsidRPr="007B1C47">
      <w:rPr>
        <w:rFonts w:cs="Arial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74" w:rsidRDefault="00042974" w:rsidP="00DC79D0">
    <w:pPr>
      <w:pStyle w:val="Fuzeile"/>
      <w:tabs>
        <w:tab w:val="clear" w:pos="4536"/>
        <w:tab w:val="clear" w:pos="9072"/>
        <w:tab w:val="right" w:pos="8222"/>
        <w:tab w:val="right" w:pos="8789"/>
      </w:tabs>
      <w:spacing w:line="240" w:lineRule="exact"/>
      <w:ind w:right="-34"/>
      <w:rPr>
        <w:rFonts w:cs="Tahoma"/>
        <w:lang w:val="de-DE"/>
      </w:rPr>
    </w:pPr>
    <w:r>
      <w:rPr>
        <w:rFonts w:cs="Tahoma"/>
        <w:lang w:val="de-DE"/>
      </w:rPr>
      <w:fldChar w:fldCharType="begin"/>
    </w:r>
    <w:r>
      <w:rPr>
        <w:rFonts w:cs="Tahoma"/>
        <w:lang w:val="de-DE"/>
      </w:rPr>
      <w:instrText xml:space="preserve"> STYLEREF  "Formatvorlage Fett Zentriert"  \* MERGEFORMAT </w:instrText>
    </w:r>
    <w:r>
      <w:rPr>
        <w:rFonts w:cs="Tahoma"/>
        <w:lang w:val="de-DE"/>
      </w:rPr>
      <w:fldChar w:fldCharType="separate"/>
    </w:r>
    <w:r>
      <w:rPr>
        <w:rFonts w:cs="Tahoma"/>
        <w:b/>
        <w:bCs/>
        <w:noProof/>
        <w:lang w:val="de-DE"/>
      </w:rPr>
      <w:t>Fehler! Verwenden Sie die Registerkarte 'Start', um Formatvorlage Fett Zentriert dem Text zuzuweisen, der hier angezeigt werden soll.</w:t>
    </w:r>
    <w:r>
      <w:rPr>
        <w:rFonts w:cs="Tahoma"/>
        <w:lang w:val="de-DE"/>
      </w:rPr>
      <w:fldChar w:fldCharType="end"/>
    </w:r>
    <w:r>
      <w:rPr>
        <w:rFonts w:cs="Tahoma"/>
        <w:lang w:val="de-DE"/>
      </w:rPr>
      <w:tab/>
      <w:t>2009-MMTT</w:t>
    </w:r>
    <w:r>
      <w:rPr>
        <w:rFonts w:cs="Tahoma"/>
        <w:lang w:val="de-DE"/>
      </w:rPr>
      <w:tab/>
    </w:r>
    <w:r w:rsidRPr="00CC2C11">
      <w:rPr>
        <w:rFonts w:cs="Tahoma"/>
        <w:lang w:val="de-DE"/>
      </w:rPr>
      <w:fldChar w:fldCharType="begin"/>
    </w:r>
    <w:r w:rsidRPr="00CC2C11">
      <w:rPr>
        <w:rFonts w:cs="Tahoma"/>
        <w:lang w:val="de-DE"/>
      </w:rPr>
      <w:instrText xml:space="preserve"> PAGE   \* MERGEFORMAT </w:instrText>
    </w:r>
    <w:r w:rsidRPr="00CC2C11">
      <w:rPr>
        <w:rFonts w:cs="Tahoma"/>
        <w:lang w:val="de-DE"/>
      </w:rPr>
      <w:fldChar w:fldCharType="separate"/>
    </w:r>
    <w:r>
      <w:rPr>
        <w:rFonts w:cs="Tahoma"/>
        <w:noProof/>
        <w:lang w:val="de-DE"/>
      </w:rPr>
      <w:t>1</w:t>
    </w:r>
    <w:r w:rsidRPr="00CC2C11">
      <w:rPr>
        <w:rFonts w:cs="Tahoma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25" w:rsidRDefault="00A02925" w:rsidP="006435CA">
      <w:pPr>
        <w:spacing w:line="240" w:lineRule="auto"/>
      </w:pPr>
      <w:r>
        <w:separator/>
      </w:r>
    </w:p>
  </w:footnote>
  <w:footnote w:type="continuationSeparator" w:id="0">
    <w:p w:rsidR="00A02925" w:rsidRDefault="00A02925" w:rsidP="006435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74" w:rsidRDefault="000429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42974" w:rsidRDefault="000429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74" w:rsidRDefault="00042974">
    <w:pPr>
      <w:pStyle w:val="Kopfzeile"/>
      <w:jc w:val="center"/>
      <w:rPr>
        <w:b/>
        <w:color w:val="8080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D76"/>
    <w:multiLevelType w:val="multilevel"/>
    <w:tmpl w:val="7276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D067C"/>
    <w:multiLevelType w:val="hybridMultilevel"/>
    <w:tmpl w:val="C2A6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3615"/>
    <w:multiLevelType w:val="multilevel"/>
    <w:tmpl w:val="6336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A716C"/>
    <w:multiLevelType w:val="hybridMultilevel"/>
    <w:tmpl w:val="030C234C"/>
    <w:lvl w:ilvl="0" w:tplc="0407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4" w15:restartNumberingAfterBreak="0">
    <w:nsid w:val="269551CC"/>
    <w:multiLevelType w:val="hybridMultilevel"/>
    <w:tmpl w:val="9A7E5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93B8E"/>
    <w:multiLevelType w:val="hybridMultilevel"/>
    <w:tmpl w:val="84E0E8E8"/>
    <w:lvl w:ilvl="0" w:tplc="55C8332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C66D3"/>
    <w:multiLevelType w:val="hybridMultilevel"/>
    <w:tmpl w:val="0F8854E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D26E4F"/>
    <w:multiLevelType w:val="hybridMultilevel"/>
    <w:tmpl w:val="43BE2E6E"/>
    <w:lvl w:ilvl="0" w:tplc="55C8332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1FCE"/>
    <w:multiLevelType w:val="hybridMultilevel"/>
    <w:tmpl w:val="A184E2BE"/>
    <w:lvl w:ilvl="0" w:tplc="BACA867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2E32CF"/>
    <w:multiLevelType w:val="hybridMultilevel"/>
    <w:tmpl w:val="ECA6425E"/>
    <w:lvl w:ilvl="0" w:tplc="55C8332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508F0"/>
    <w:multiLevelType w:val="hybridMultilevel"/>
    <w:tmpl w:val="33E4F796"/>
    <w:lvl w:ilvl="0" w:tplc="0C07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1" w15:restartNumberingAfterBreak="0">
    <w:nsid w:val="550F7545"/>
    <w:multiLevelType w:val="hybridMultilevel"/>
    <w:tmpl w:val="566E0A78"/>
    <w:lvl w:ilvl="0" w:tplc="0407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2" w15:restartNumberingAfterBreak="0">
    <w:nsid w:val="55E5721C"/>
    <w:multiLevelType w:val="hybridMultilevel"/>
    <w:tmpl w:val="7DBE7992"/>
    <w:lvl w:ilvl="0" w:tplc="55C83324">
      <w:numFmt w:val="bullet"/>
      <w:lvlText w:val="•"/>
      <w:lvlJc w:val="left"/>
      <w:pPr>
        <w:ind w:left="3048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13" w15:restartNumberingAfterBreak="0">
    <w:nsid w:val="5ACF7CC2"/>
    <w:multiLevelType w:val="multilevel"/>
    <w:tmpl w:val="79FAE8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2F065BA"/>
    <w:multiLevelType w:val="hybridMultilevel"/>
    <w:tmpl w:val="58201F46"/>
    <w:lvl w:ilvl="0" w:tplc="650863FA">
      <w:start w:val="1"/>
      <w:numFmt w:val="bullet"/>
      <w:pStyle w:val="LBAZE1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85CE947E">
      <w:start w:val="1"/>
      <w:numFmt w:val="bullet"/>
      <w:pStyle w:val="LBAZE2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1E202810">
      <w:start w:val="1"/>
      <w:numFmt w:val="bullet"/>
      <w:pStyle w:val="LBAZE3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65C61F9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597257"/>
    <w:multiLevelType w:val="hybridMultilevel"/>
    <w:tmpl w:val="9190E2A6"/>
    <w:lvl w:ilvl="0" w:tplc="0C07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0"/>
  </w:num>
  <w:num w:numId="9">
    <w:abstractNumId w:val="2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  <w:num w:numId="16">
    <w:abstractNumId w:val="9"/>
  </w:num>
  <w:num w:numId="17">
    <w:abstractNumId w:val="7"/>
  </w:num>
  <w:num w:numId="18">
    <w:abstractNumId w:val="4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FC"/>
    <w:rsid w:val="00001F03"/>
    <w:rsid w:val="0000484A"/>
    <w:rsid w:val="000328A2"/>
    <w:rsid w:val="00042974"/>
    <w:rsid w:val="00043B76"/>
    <w:rsid w:val="00060970"/>
    <w:rsid w:val="00060B96"/>
    <w:rsid w:val="00061353"/>
    <w:rsid w:val="00073ACE"/>
    <w:rsid w:val="00075C8C"/>
    <w:rsid w:val="0007629C"/>
    <w:rsid w:val="0008134B"/>
    <w:rsid w:val="00083580"/>
    <w:rsid w:val="00090711"/>
    <w:rsid w:val="0009277F"/>
    <w:rsid w:val="00095CD6"/>
    <w:rsid w:val="000E5A74"/>
    <w:rsid w:val="000F0673"/>
    <w:rsid w:val="00127672"/>
    <w:rsid w:val="00150408"/>
    <w:rsid w:val="00152BD7"/>
    <w:rsid w:val="00186FD2"/>
    <w:rsid w:val="001A6A6D"/>
    <w:rsid w:val="001C2994"/>
    <w:rsid w:val="001F4877"/>
    <w:rsid w:val="0020224D"/>
    <w:rsid w:val="00222DBE"/>
    <w:rsid w:val="00231780"/>
    <w:rsid w:val="00237BA0"/>
    <w:rsid w:val="00271C44"/>
    <w:rsid w:val="00277987"/>
    <w:rsid w:val="002A71D4"/>
    <w:rsid w:val="002B09E4"/>
    <w:rsid w:val="002B587F"/>
    <w:rsid w:val="002C1713"/>
    <w:rsid w:val="002C483E"/>
    <w:rsid w:val="002D0889"/>
    <w:rsid w:val="003120A5"/>
    <w:rsid w:val="00325E00"/>
    <w:rsid w:val="00334C88"/>
    <w:rsid w:val="00354457"/>
    <w:rsid w:val="003571EC"/>
    <w:rsid w:val="003675EC"/>
    <w:rsid w:val="003872C8"/>
    <w:rsid w:val="003F44B7"/>
    <w:rsid w:val="003F5C21"/>
    <w:rsid w:val="00401C3E"/>
    <w:rsid w:val="00406079"/>
    <w:rsid w:val="00411B47"/>
    <w:rsid w:val="00420F84"/>
    <w:rsid w:val="00430030"/>
    <w:rsid w:val="004300B8"/>
    <w:rsid w:val="00430F9D"/>
    <w:rsid w:val="00457471"/>
    <w:rsid w:val="0046063C"/>
    <w:rsid w:val="00480A4A"/>
    <w:rsid w:val="00486A21"/>
    <w:rsid w:val="004A23E6"/>
    <w:rsid w:val="004F27DC"/>
    <w:rsid w:val="00507335"/>
    <w:rsid w:val="00510EC6"/>
    <w:rsid w:val="00531A64"/>
    <w:rsid w:val="00554A3E"/>
    <w:rsid w:val="00572608"/>
    <w:rsid w:val="00592D05"/>
    <w:rsid w:val="005F0FAD"/>
    <w:rsid w:val="006058FC"/>
    <w:rsid w:val="00613C4D"/>
    <w:rsid w:val="006145D8"/>
    <w:rsid w:val="00615BA3"/>
    <w:rsid w:val="0063536D"/>
    <w:rsid w:val="006435CA"/>
    <w:rsid w:val="00652930"/>
    <w:rsid w:val="006C7EA3"/>
    <w:rsid w:val="006E263D"/>
    <w:rsid w:val="007066D1"/>
    <w:rsid w:val="00707785"/>
    <w:rsid w:val="0071660A"/>
    <w:rsid w:val="00741A29"/>
    <w:rsid w:val="007763F8"/>
    <w:rsid w:val="00782A44"/>
    <w:rsid w:val="00787B20"/>
    <w:rsid w:val="00793601"/>
    <w:rsid w:val="007B1C47"/>
    <w:rsid w:val="007C4A64"/>
    <w:rsid w:val="007E1DE3"/>
    <w:rsid w:val="007F0B02"/>
    <w:rsid w:val="007F769B"/>
    <w:rsid w:val="00820B54"/>
    <w:rsid w:val="00853182"/>
    <w:rsid w:val="00854C66"/>
    <w:rsid w:val="00854D04"/>
    <w:rsid w:val="00856D73"/>
    <w:rsid w:val="008931F2"/>
    <w:rsid w:val="008A3294"/>
    <w:rsid w:val="008D17ED"/>
    <w:rsid w:val="008F184D"/>
    <w:rsid w:val="00931F0B"/>
    <w:rsid w:val="00941A79"/>
    <w:rsid w:val="009467E5"/>
    <w:rsid w:val="00955B77"/>
    <w:rsid w:val="00957A77"/>
    <w:rsid w:val="00985801"/>
    <w:rsid w:val="0098725D"/>
    <w:rsid w:val="0099203A"/>
    <w:rsid w:val="009A619C"/>
    <w:rsid w:val="009E091E"/>
    <w:rsid w:val="009F105A"/>
    <w:rsid w:val="00A02925"/>
    <w:rsid w:val="00A061FB"/>
    <w:rsid w:val="00A428FB"/>
    <w:rsid w:val="00A51EE5"/>
    <w:rsid w:val="00A75A12"/>
    <w:rsid w:val="00AB5FB3"/>
    <w:rsid w:val="00AD1C08"/>
    <w:rsid w:val="00AE0C47"/>
    <w:rsid w:val="00B34A99"/>
    <w:rsid w:val="00B40087"/>
    <w:rsid w:val="00B71F66"/>
    <w:rsid w:val="00B81EF8"/>
    <w:rsid w:val="00B971EC"/>
    <w:rsid w:val="00BD7D21"/>
    <w:rsid w:val="00BE2A56"/>
    <w:rsid w:val="00C151CA"/>
    <w:rsid w:val="00C37DED"/>
    <w:rsid w:val="00C92665"/>
    <w:rsid w:val="00CA282C"/>
    <w:rsid w:val="00CB77E4"/>
    <w:rsid w:val="00CD785C"/>
    <w:rsid w:val="00CE2B2A"/>
    <w:rsid w:val="00D036C4"/>
    <w:rsid w:val="00D05B08"/>
    <w:rsid w:val="00D21115"/>
    <w:rsid w:val="00D21BBF"/>
    <w:rsid w:val="00D23357"/>
    <w:rsid w:val="00D424D1"/>
    <w:rsid w:val="00D47BAB"/>
    <w:rsid w:val="00D73EC3"/>
    <w:rsid w:val="00D80FAC"/>
    <w:rsid w:val="00D85DC6"/>
    <w:rsid w:val="00D85E37"/>
    <w:rsid w:val="00D9035C"/>
    <w:rsid w:val="00DC56E8"/>
    <w:rsid w:val="00DC79D0"/>
    <w:rsid w:val="00DD3FC4"/>
    <w:rsid w:val="00DE0063"/>
    <w:rsid w:val="00E14B78"/>
    <w:rsid w:val="00E2570B"/>
    <w:rsid w:val="00E3180B"/>
    <w:rsid w:val="00E40507"/>
    <w:rsid w:val="00E43DED"/>
    <w:rsid w:val="00E76DCA"/>
    <w:rsid w:val="00E90FBE"/>
    <w:rsid w:val="00EA4182"/>
    <w:rsid w:val="00EA4E3D"/>
    <w:rsid w:val="00EA6BA3"/>
    <w:rsid w:val="00EA6EAF"/>
    <w:rsid w:val="00EB5FD3"/>
    <w:rsid w:val="00EE2CC3"/>
    <w:rsid w:val="00EE6515"/>
    <w:rsid w:val="00EF5E2E"/>
    <w:rsid w:val="00EF6A9F"/>
    <w:rsid w:val="00F35B38"/>
    <w:rsid w:val="00F426F3"/>
    <w:rsid w:val="00F73628"/>
    <w:rsid w:val="00FA329A"/>
    <w:rsid w:val="00FC135D"/>
    <w:rsid w:val="00FC7E9B"/>
    <w:rsid w:val="00FD572B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9750"/>
  <w15:chartTrackingRefBased/>
  <w15:docId w15:val="{B2CEDDA8-97DC-4FD7-990E-0E9BC74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B_Standard"/>
    <w:qFormat/>
    <w:rsid w:val="00854C66"/>
    <w:pPr>
      <w:spacing w:before="120" w:line="276" w:lineRule="auto"/>
      <w:ind w:left="329"/>
    </w:pPr>
    <w:rPr>
      <w:rFonts w:ascii="Verdana" w:hAnsi="Verdana"/>
      <w:sz w:val="1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0762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LB_Kopfzeile"/>
    <w:basedOn w:val="Standard"/>
    <w:link w:val="KopfzeileZchn"/>
    <w:rsid w:val="00FC7E9B"/>
    <w:pPr>
      <w:tabs>
        <w:tab w:val="center" w:pos="4536"/>
        <w:tab w:val="right" w:pos="9072"/>
      </w:tabs>
      <w:spacing w:before="180" w:after="60" w:line="300" w:lineRule="exact"/>
    </w:pPr>
    <w:rPr>
      <w:rFonts w:eastAsia="Times New Roman"/>
      <w:sz w:val="20"/>
      <w:szCs w:val="24"/>
      <w:lang w:eastAsia="de-DE"/>
    </w:rPr>
  </w:style>
  <w:style w:type="character" w:customStyle="1" w:styleId="KopfzeileZchn">
    <w:name w:val="Kopfzeile Zchn"/>
    <w:aliases w:val="LB_Kopfzeile Zchn"/>
    <w:basedOn w:val="Absatz-Standardschriftart"/>
    <w:link w:val="Kopfzeile"/>
    <w:rsid w:val="00FC7E9B"/>
    <w:rPr>
      <w:rFonts w:ascii="Arial" w:eastAsia="Times New Roman" w:hAnsi="Arial"/>
      <w:szCs w:val="24"/>
      <w:lang w:eastAsia="de-DE"/>
    </w:rPr>
  </w:style>
  <w:style w:type="paragraph" w:styleId="Fuzeile">
    <w:name w:val="footer"/>
    <w:aliases w:val="LB_Fußzeile"/>
    <w:basedOn w:val="LBText"/>
    <w:link w:val="FuzeileZchn"/>
    <w:rsid w:val="00FC7E9B"/>
    <w:pPr>
      <w:pBdr>
        <w:top w:val="single" w:sz="4" w:space="5" w:color="auto"/>
      </w:pBdr>
      <w:tabs>
        <w:tab w:val="center" w:pos="4536"/>
        <w:tab w:val="right" w:pos="9072"/>
      </w:tabs>
      <w:spacing w:before="180" w:after="60" w:line="300" w:lineRule="exact"/>
    </w:pPr>
    <w:rPr>
      <w:rFonts w:eastAsia="Times New Roman" w:cs="Times New Roman"/>
      <w:sz w:val="20"/>
      <w:lang w:eastAsia="de-DE"/>
    </w:rPr>
  </w:style>
  <w:style w:type="character" w:customStyle="1" w:styleId="FuzeileZchn">
    <w:name w:val="Fußzeile Zchn"/>
    <w:aliases w:val="LB_Fußzeile Zchn"/>
    <w:basedOn w:val="Absatz-Standardschriftart"/>
    <w:link w:val="Fuzeile"/>
    <w:rsid w:val="00FC7E9B"/>
    <w:rPr>
      <w:rFonts w:ascii="Arial" w:eastAsia="Times New Roman" w:hAnsi="Arial"/>
      <w:szCs w:val="24"/>
      <w:lang w:eastAsia="de-DE"/>
    </w:rPr>
  </w:style>
  <w:style w:type="character" w:styleId="Seitenzahl">
    <w:name w:val="page number"/>
    <w:basedOn w:val="Absatz-Standardschriftart"/>
    <w:rsid w:val="006435CA"/>
  </w:style>
  <w:style w:type="table" w:customStyle="1" w:styleId="Tabellengitternetz">
    <w:name w:val="Tabellengitternetz"/>
    <w:basedOn w:val="NormaleTabelle"/>
    <w:uiPriority w:val="59"/>
    <w:rsid w:val="006435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aliases w:val="LB_Listenabsatz"/>
    <w:basedOn w:val="Standard"/>
    <w:link w:val="ListenabsatzZchn"/>
    <w:uiPriority w:val="34"/>
    <w:rsid w:val="00FC7E9B"/>
    <w:pPr>
      <w:numPr>
        <w:numId w:val="2"/>
      </w:numPr>
      <w:spacing w:after="120" w:line="240" w:lineRule="auto"/>
      <w:ind w:left="1474" w:hanging="907"/>
      <w:contextualSpacing/>
    </w:pPr>
  </w:style>
  <w:style w:type="paragraph" w:customStyle="1" w:styleId="LBText">
    <w:name w:val="LB_Text"/>
    <w:basedOn w:val="Standard"/>
    <w:link w:val="LBTextZchn"/>
    <w:qFormat/>
    <w:rsid w:val="00854C66"/>
    <w:pPr>
      <w:spacing w:line="240" w:lineRule="auto"/>
    </w:pPr>
    <w:rPr>
      <w:rFonts w:cs="Arial"/>
      <w:szCs w:val="24"/>
    </w:rPr>
  </w:style>
  <w:style w:type="paragraph" w:customStyle="1" w:styleId="LBberschriftReferenzFuzeile">
    <w:name w:val="LB_Überschrift_Referenz Fußzeile"/>
    <w:basedOn w:val="berschrift1"/>
    <w:next w:val="LBText"/>
    <w:qFormat/>
    <w:rsid w:val="00C151CA"/>
    <w:pPr>
      <w:spacing w:before="60" w:line="240" w:lineRule="auto"/>
    </w:pPr>
    <w:rPr>
      <w:rFonts w:ascii="Verdana" w:hAnsi="Verdana" w:cs="Arial"/>
      <w:color w:val="000000"/>
      <w:sz w:val="26"/>
      <w:szCs w:val="28"/>
    </w:rPr>
  </w:style>
  <w:style w:type="paragraph" w:customStyle="1" w:styleId="LBAZE1">
    <w:name w:val="LB_AZ_E 1"/>
    <w:basedOn w:val="Listenabsatz"/>
    <w:link w:val="LBAufzhlungEbene1Zchn"/>
    <w:qFormat/>
    <w:rsid w:val="00E90FBE"/>
    <w:pPr>
      <w:numPr>
        <w:numId w:val="1"/>
      </w:numPr>
      <w:spacing w:after="0"/>
    </w:pPr>
    <w:rPr>
      <w:rFonts w:cs="Arial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62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LBAZE2">
    <w:name w:val="LB_AZ_E 2"/>
    <w:basedOn w:val="Listenabsatz"/>
    <w:link w:val="LBAZE2Zchn"/>
    <w:qFormat/>
    <w:rsid w:val="00E90FBE"/>
    <w:pPr>
      <w:numPr>
        <w:ilvl w:val="1"/>
        <w:numId w:val="1"/>
      </w:numPr>
      <w:spacing w:after="0"/>
    </w:pPr>
    <w:rPr>
      <w:rFonts w:cs="Arial"/>
      <w:szCs w:val="24"/>
    </w:rPr>
  </w:style>
  <w:style w:type="character" w:customStyle="1" w:styleId="ListenabsatzZchn">
    <w:name w:val="Listenabsatz Zchn"/>
    <w:aliases w:val="LB_Listenabsatz Zchn"/>
    <w:basedOn w:val="Absatz-Standardschriftart"/>
    <w:link w:val="Listenabsatz"/>
    <w:uiPriority w:val="34"/>
    <w:rsid w:val="00FC7E9B"/>
    <w:rPr>
      <w:rFonts w:ascii="Arial" w:hAnsi="Arial"/>
      <w:sz w:val="24"/>
      <w:szCs w:val="22"/>
      <w:lang w:eastAsia="en-US"/>
    </w:rPr>
  </w:style>
  <w:style w:type="character" w:customStyle="1" w:styleId="LBAufzhlungEbene1Zchn">
    <w:name w:val="LB_Aufzählung_Ebene 1 Zchn"/>
    <w:basedOn w:val="ListenabsatzZchn"/>
    <w:link w:val="LBAZE1"/>
    <w:rsid w:val="00FC7E9B"/>
    <w:rPr>
      <w:rFonts w:ascii="Arial" w:hAnsi="Arial"/>
      <w:sz w:val="24"/>
      <w:szCs w:val="22"/>
      <w:lang w:eastAsia="en-US"/>
    </w:rPr>
  </w:style>
  <w:style w:type="paragraph" w:customStyle="1" w:styleId="LBBlockberschift">
    <w:name w:val="LB_Blocküberschift"/>
    <w:basedOn w:val="Standard"/>
    <w:link w:val="LBBlockberschiftZchn"/>
    <w:qFormat/>
    <w:rsid w:val="00AE0C47"/>
    <w:pPr>
      <w:spacing w:before="60" w:after="60" w:line="240" w:lineRule="auto"/>
      <w:ind w:left="32"/>
    </w:pPr>
    <w:rPr>
      <w:rFonts w:cs="Arial"/>
      <w:b/>
      <w:sz w:val="24"/>
      <w:szCs w:val="24"/>
    </w:rPr>
  </w:style>
  <w:style w:type="character" w:customStyle="1" w:styleId="LBAZE2Zchn">
    <w:name w:val="LB_AZ_E 2 Zchn"/>
    <w:basedOn w:val="ListenabsatzZchn"/>
    <w:link w:val="LBAZE2"/>
    <w:rsid w:val="00E90FBE"/>
    <w:rPr>
      <w:rFonts w:ascii="Arial" w:hAnsi="Arial" w:cs="Arial"/>
      <w:sz w:val="24"/>
      <w:szCs w:val="24"/>
      <w:lang w:eastAsia="en-US"/>
    </w:rPr>
  </w:style>
  <w:style w:type="paragraph" w:customStyle="1" w:styleId="LBLeistungsbezeichnung">
    <w:name w:val="LB_Leistungsbezeichnung"/>
    <w:basedOn w:val="Standard"/>
    <w:link w:val="LBLeistungsbezeichnungZchn"/>
    <w:qFormat/>
    <w:rsid w:val="00C151CA"/>
    <w:pPr>
      <w:spacing w:before="60" w:after="60" w:line="240" w:lineRule="auto"/>
    </w:pPr>
    <w:rPr>
      <w:rFonts w:cs="Arial"/>
      <w:b/>
      <w:color w:val="808080"/>
      <w:sz w:val="26"/>
      <w:szCs w:val="28"/>
    </w:rPr>
  </w:style>
  <w:style w:type="character" w:customStyle="1" w:styleId="LBBlockberschiftZchn">
    <w:name w:val="LB_Blocküberschift Zchn"/>
    <w:basedOn w:val="Absatz-Standardschriftart"/>
    <w:link w:val="LBBlockberschift"/>
    <w:rsid w:val="00AE0C47"/>
    <w:rPr>
      <w:rFonts w:ascii="Verdana" w:hAnsi="Verdana" w:cs="Arial"/>
      <w:b/>
      <w:sz w:val="24"/>
      <w:szCs w:val="24"/>
      <w:lang w:eastAsia="en-US"/>
    </w:rPr>
  </w:style>
  <w:style w:type="character" w:styleId="Fett">
    <w:name w:val="Strong"/>
    <w:aliases w:val="LB_Fett"/>
    <w:basedOn w:val="LBTabellentextZchn"/>
    <w:uiPriority w:val="22"/>
    <w:rsid w:val="00782A44"/>
    <w:rPr>
      <w:rFonts w:ascii="Verdana" w:hAnsi="Verdana" w:cs="Arial"/>
      <w:b/>
      <w:bCs/>
      <w:sz w:val="18"/>
      <w:szCs w:val="24"/>
      <w:lang w:eastAsia="en-US"/>
    </w:rPr>
  </w:style>
  <w:style w:type="character" w:customStyle="1" w:styleId="LBLeistungsbezeichnungZchn">
    <w:name w:val="LB_Leistungsbezeichnung Zchn"/>
    <w:basedOn w:val="Absatz-Standardschriftart"/>
    <w:link w:val="LBLeistungsbezeichnung"/>
    <w:rsid w:val="00C151CA"/>
    <w:rPr>
      <w:rFonts w:ascii="Verdana" w:hAnsi="Verdana" w:cs="Arial"/>
      <w:b/>
      <w:color w:val="808080"/>
      <w:sz w:val="26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325E00"/>
    <w:rPr>
      <w:color w:val="0000FF"/>
      <w:u w:val="single"/>
    </w:rPr>
  </w:style>
  <w:style w:type="character" w:customStyle="1" w:styleId="BesuchterHyperlink">
    <w:name w:val="BesuchterHyperlink"/>
    <w:basedOn w:val="Absatz-Standardschriftart"/>
    <w:uiPriority w:val="99"/>
    <w:semiHidden/>
    <w:unhideWhenUsed/>
    <w:rsid w:val="00E76DCA"/>
    <w:rPr>
      <w:color w:val="800080"/>
      <w:u w:val="single"/>
    </w:rPr>
  </w:style>
  <w:style w:type="paragraph" w:customStyle="1" w:styleId="LBAZE3">
    <w:name w:val="LB_AZ_E 3"/>
    <w:basedOn w:val="LBAZE2"/>
    <w:link w:val="LBAZE3Zchn"/>
    <w:qFormat/>
    <w:rsid w:val="00941A79"/>
    <w:pPr>
      <w:numPr>
        <w:ilvl w:val="2"/>
      </w:numPr>
    </w:pPr>
  </w:style>
  <w:style w:type="paragraph" w:customStyle="1" w:styleId="LBTabelle">
    <w:name w:val="LB_Tabelle"/>
    <w:basedOn w:val="LBText"/>
    <w:link w:val="LBTabellentextZchn"/>
    <w:qFormat/>
    <w:rsid w:val="00486A21"/>
    <w:pPr>
      <w:spacing w:before="0"/>
      <w:ind w:left="0"/>
    </w:pPr>
  </w:style>
  <w:style w:type="character" w:customStyle="1" w:styleId="LBAZE3Zchn">
    <w:name w:val="LB_AZ_E 3 Zchn"/>
    <w:basedOn w:val="LBAZE2Zchn"/>
    <w:link w:val="LBAZE3"/>
    <w:rsid w:val="00941A79"/>
    <w:rPr>
      <w:rFonts w:ascii="Arial" w:hAnsi="Arial" w:cs="Arial"/>
      <w:sz w:val="24"/>
      <w:szCs w:val="24"/>
      <w:lang w:eastAsia="en-US"/>
    </w:rPr>
  </w:style>
  <w:style w:type="paragraph" w:customStyle="1" w:styleId="LBfetthervorgehoben">
    <w:name w:val="LB_fett/hervorgehoben"/>
    <w:basedOn w:val="Standard"/>
    <w:link w:val="LBfetthervorgehobenZchn"/>
    <w:qFormat/>
    <w:rsid w:val="00782A44"/>
    <w:rPr>
      <w:b/>
    </w:rPr>
  </w:style>
  <w:style w:type="character" w:customStyle="1" w:styleId="LBTextZchn">
    <w:name w:val="LB_Text Zchn"/>
    <w:basedOn w:val="Absatz-Standardschriftart"/>
    <w:link w:val="LBText"/>
    <w:rsid w:val="00854C66"/>
    <w:rPr>
      <w:rFonts w:ascii="Verdana" w:hAnsi="Verdana" w:cs="Arial"/>
      <w:sz w:val="18"/>
      <w:szCs w:val="24"/>
      <w:lang w:eastAsia="en-US"/>
    </w:rPr>
  </w:style>
  <w:style w:type="character" w:customStyle="1" w:styleId="LBTabellentextZchn">
    <w:name w:val="LB_Tabellentext Zchn"/>
    <w:basedOn w:val="LBTextZchn"/>
    <w:link w:val="LBTabelle"/>
    <w:rsid w:val="00486A21"/>
    <w:rPr>
      <w:rFonts w:ascii="Verdana" w:hAnsi="Verdana" w:cs="Arial"/>
      <w:sz w:val="18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C37DE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LBfetthervorgehobenZchn">
    <w:name w:val="LB_fett/hervorgehoben Zchn"/>
    <w:basedOn w:val="Absatz-Standardschriftart"/>
    <w:link w:val="LBfetthervorgehoben"/>
    <w:rsid w:val="00782A44"/>
    <w:rPr>
      <w:rFonts w:ascii="Verdana" w:hAnsi="Verdana"/>
      <w:b/>
      <w:sz w:val="18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090711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09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9783">
          <w:marLeft w:val="5"/>
          <w:marRight w:val="5"/>
          <w:marTop w:val="0"/>
          <w:marBottom w:val="5"/>
          <w:divBdr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</w:divBdr>
          <w:divsChild>
            <w:div w:id="16985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8724-AD24-46F5-AA86-71AB63E9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Pauritsch</dc:creator>
  <cp:keywords/>
  <cp:lastModifiedBy>Jöbstl Norbert</cp:lastModifiedBy>
  <cp:revision>11</cp:revision>
  <cp:lastPrinted>2013-05-06T11:55:00Z</cp:lastPrinted>
  <dcterms:created xsi:type="dcterms:W3CDTF">2018-12-17T16:01:00Z</dcterms:created>
  <dcterms:modified xsi:type="dcterms:W3CDTF">2022-06-30T08:42:00Z</dcterms:modified>
</cp:coreProperties>
</file>